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AB" w:rsidRPr="00F1651B" w:rsidRDefault="00D808AB" w:rsidP="00D808AB">
      <w:pPr>
        <w:pStyle w:val="KeinLeerraum"/>
        <w:jc w:val="center"/>
        <w:rPr>
          <w:b/>
          <w:sz w:val="24"/>
          <w:szCs w:val="24"/>
          <w:u w:val="single"/>
        </w:rPr>
      </w:pPr>
      <w:bookmarkStart w:id="0" w:name="_GoBack"/>
      <w:r w:rsidRPr="00F1651B">
        <w:rPr>
          <w:b/>
          <w:sz w:val="24"/>
          <w:szCs w:val="24"/>
          <w:u w:val="single"/>
        </w:rPr>
        <w:t>Jahresabschluss der Gemeinde Südbrookmerland</w:t>
      </w:r>
    </w:p>
    <w:p w:rsidR="00D808AB" w:rsidRPr="00F1651B" w:rsidRDefault="006B0884" w:rsidP="00D808AB">
      <w:pPr>
        <w:pStyle w:val="KeinLeerraum"/>
        <w:jc w:val="center"/>
        <w:rPr>
          <w:b/>
          <w:sz w:val="24"/>
          <w:szCs w:val="24"/>
          <w:u w:val="single"/>
        </w:rPr>
      </w:pPr>
      <w:r w:rsidRPr="00F1651B">
        <w:rPr>
          <w:b/>
          <w:sz w:val="24"/>
          <w:szCs w:val="24"/>
          <w:u w:val="single"/>
        </w:rPr>
        <w:t>zum 31.12.20</w:t>
      </w:r>
      <w:r w:rsidR="00DE0C43" w:rsidRPr="00F1651B">
        <w:rPr>
          <w:b/>
          <w:sz w:val="24"/>
          <w:szCs w:val="24"/>
          <w:u w:val="single"/>
        </w:rPr>
        <w:t>21</w:t>
      </w:r>
    </w:p>
    <w:bookmarkEnd w:id="0"/>
    <w:p w:rsidR="00D808AB" w:rsidRDefault="00D808AB" w:rsidP="00D808AB">
      <w:pPr>
        <w:pStyle w:val="KeinLeerraum"/>
      </w:pPr>
    </w:p>
    <w:p w:rsidR="00D808AB" w:rsidRDefault="00D808AB" w:rsidP="00D808AB">
      <w:pPr>
        <w:pStyle w:val="KeinLeerraum"/>
      </w:pPr>
      <w:r>
        <w:t>Der Rat der Gemeinde Südbrookmerland hat gemäß §</w:t>
      </w:r>
      <w:r w:rsidR="00162175">
        <w:t xml:space="preserve"> </w:t>
      </w:r>
      <w:r>
        <w:t xml:space="preserve">129 </w:t>
      </w:r>
      <w:r w:rsidR="00BF4953">
        <w:t xml:space="preserve">Absatz 1 Satz 3 </w:t>
      </w:r>
      <w:r>
        <w:t>des Niedersächsischen Kommunalve</w:t>
      </w:r>
      <w:r w:rsidR="00162175">
        <w:t xml:space="preserve">rfassungsgesetzes (NKomVG) am </w:t>
      </w:r>
      <w:r w:rsidR="00B74C31">
        <w:t>14</w:t>
      </w:r>
      <w:r w:rsidR="006B0884">
        <w:t xml:space="preserve">. </w:t>
      </w:r>
      <w:r w:rsidR="00DE0C43">
        <w:t xml:space="preserve">Dezember </w:t>
      </w:r>
      <w:r w:rsidR="006B0884">
        <w:t>20</w:t>
      </w:r>
      <w:r w:rsidR="00E326CB">
        <w:t>2</w:t>
      </w:r>
      <w:r w:rsidR="00DE0C43">
        <w:t>3</w:t>
      </w:r>
      <w:r>
        <w:t xml:space="preserve"> den Jahresabschluss der Gemeinde Südbrookmerland für das Haus</w:t>
      </w:r>
      <w:r w:rsidR="00F819AD">
        <w:t>haltsjahr 20</w:t>
      </w:r>
      <w:r w:rsidR="00DE0C43">
        <w:t>21</w:t>
      </w:r>
      <w:r w:rsidR="001358D0">
        <w:t xml:space="preserve"> </w:t>
      </w:r>
      <w:r>
        <w:t>beschlossen und dem Bürgermeister die Entlastung erteilt.</w:t>
      </w:r>
    </w:p>
    <w:p w:rsidR="00D808AB" w:rsidRDefault="00D808AB" w:rsidP="00D808AB">
      <w:pPr>
        <w:pStyle w:val="KeinLeerraum"/>
      </w:pPr>
    </w:p>
    <w:p w:rsidR="00D808AB" w:rsidRDefault="00D808AB" w:rsidP="00D808AB">
      <w:pPr>
        <w:pStyle w:val="KeinLeerraum"/>
      </w:pPr>
      <w:r>
        <w:t>Nachstehend die Bilanz in der komprimierten Darstellungsform</w:t>
      </w:r>
      <w:r w:rsidR="00162175">
        <w:t xml:space="preserve"> zur Veröffentlichung gemäß § 55 Absatz 1 Satz 3 der Kommunal</w:t>
      </w:r>
      <w:r>
        <w:t>hausha</w:t>
      </w:r>
      <w:r w:rsidR="00162175">
        <w:t xml:space="preserve">lts- </w:t>
      </w:r>
      <w:proofErr w:type="gramStart"/>
      <w:r w:rsidR="00162175">
        <w:t>und  -</w:t>
      </w:r>
      <w:proofErr w:type="spellStart"/>
      <w:proofErr w:type="gramEnd"/>
      <w:r w:rsidR="00162175">
        <w:t>kassenverordnung</w:t>
      </w:r>
      <w:proofErr w:type="spellEnd"/>
      <w:r w:rsidR="00162175">
        <w:t xml:space="preserve"> (</w:t>
      </w:r>
      <w:proofErr w:type="spellStart"/>
      <w:r w:rsidR="00162175">
        <w:t>Kom</w:t>
      </w:r>
      <w:r>
        <w:t>HKVO</w:t>
      </w:r>
      <w:proofErr w:type="spellEnd"/>
      <w:r>
        <w:t xml:space="preserve">) in Verbindung mit </w:t>
      </w:r>
      <w:proofErr w:type="spellStart"/>
      <w:r>
        <w:t>RdErl.d</w:t>
      </w:r>
      <w:proofErr w:type="spellEnd"/>
      <w:r>
        <w:t xml:space="preserve">. MI vom </w:t>
      </w:r>
      <w:r w:rsidR="00162175">
        <w:t>24.04.2017</w:t>
      </w:r>
      <w:r>
        <w:t xml:space="preserve"> </w:t>
      </w:r>
      <w:r w:rsidR="00162175">
        <w:t>(</w:t>
      </w:r>
      <w:proofErr w:type="spellStart"/>
      <w:r w:rsidR="00162175">
        <w:t>Nds.MBl</w:t>
      </w:r>
      <w:proofErr w:type="spellEnd"/>
      <w:r w:rsidR="00162175">
        <w:t>. S. 566).</w:t>
      </w:r>
    </w:p>
    <w:p w:rsidR="00B74C31" w:rsidRDefault="00B74C31" w:rsidP="00D808AB">
      <w:pPr>
        <w:pStyle w:val="KeinLeerraum"/>
      </w:pPr>
    </w:p>
    <w:tbl>
      <w:tblPr>
        <w:tblStyle w:val="TableNormal1"/>
        <w:tblW w:w="14303" w:type="dxa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268"/>
        <w:gridCol w:w="1439"/>
        <w:gridCol w:w="1438"/>
        <w:gridCol w:w="620"/>
        <w:gridCol w:w="4039"/>
        <w:gridCol w:w="1440"/>
        <w:gridCol w:w="1439"/>
      </w:tblGrid>
      <w:tr w:rsidR="00DE0C43" w:rsidTr="00DE0C43">
        <w:trPr>
          <w:trHeight w:val="344"/>
        </w:trPr>
        <w:tc>
          <w:tcPr>
            <w:tcW w:w="14303" w:type="dxa"/>
            <w:gridSpan w:val="8"/>
            <w:shd w:val="clear" w:color="auto" w:fill="E16B09"/>
          </w:tcPr>
          <w:p w:rsidR="00DE0C43" w:rsidRDefault="00DE0C43" w:rsidP="00152A31">
            <w:pPr>
              <w:pStyle w:val="TableParagraph"/>
              <w:spacing w:line="324" w:lineRule="exact"/>
              <w:ind w:left="-1" w:right="10"/>
              <w:jc w:val="center"/>
              <w:rPr>
                <w:b/>
                <w:i/>
                <w:sz w:val="30"/>
              </w:rPr>
            </w:pPr>
            <w:proofErr w:type="spellStart"/>
            <w:r>
              <w:rPr>
                <w:b/>
                <w:i/>
                <w:sz w:val="30"/>
                <w:u w:val="thick"/>
              </w:rPr>
              <w:t>Bilanz</w:t>
            </w:r>
            <w:proofErr w:type="spellEnd"/>
            <w:r>
              <w:rPr>
                <w:b/>
                <w:i/>
                <w:sz w:val="30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thick"/>
              </w:rPr>
              <w:t>zum</w:t>
            </w:r>
            <w:proofErr w:type="spellEnd"/>
            <w:r>
              <w:rPr>
                <w:b/>
                <w:i/>
                <w:sz w:val="30"/>
                <w:u w:val="thick"/>
              </w:rPr>
              <w:t xml:space="preserve"> 31.12.2021</w:t>
            </w:r>
          </w:p>
        </w:tc>
      </w:tr>
      <w:tr w:rsidR="00DE0C43" w:rsidTr="00DE0C43">
        <w:trPr>
          <w:trHeight w:val="298"/>
        </w:trPr>
        <w:tc>
          <w:tcPr>
            <w:tcW w:w="3888" w:type="dxa"/>
            <w:gridSpan w:val="2"/>
            <w:tcBorders>
              <w:right w:val="single" w:sz="6" w:space="0" w:color="000000"/>
            </w:tcBorders>
            <w:shd w:val="clear" w:color="auto" w:fill="F9BE8F"/>
          </w:tcPr>
          <w:p w:rsidR="00DE0C43" w:rsidRDefault="00DE0C43" w:rsidP="00152A31">
            <w:pPr>
              <w:pStyle w:val="TableParagraph"/>
              <w:spacing w:line="279" w:lineRule="exact"/>
              <w:ind w:left="33"/>
              <w:jc w:val="center"/>
              <w:rPr>
                <w:b/>
                <w:sz w:val="25"/>
              </w:rPr>
            </w:pPr>
            <w:r>
              <w:rPr>
                <w:rFonts w:ascii="Times New Roman"/>
                <w:spacing w:val="-63"/>
                <w:sz w:val="25"/>
                <w:u w:val="thick"/>
              </w:rPr>
              <w:t xml:space="preserve"> </w:t>
            </w:r>
            <w:proofErr w:type="spellStart"/>
            <w:r>
              <w:rPr>
                <w:b/>
                <w:sz w:val="25"/>
                <w:u w:val="thick"/>
              </w:rPr>
              <w:t>Aktiva</w:t>
            </w:r>
            <w:proofErr w:type="spellEnd"/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9BE8F"/>
          </w:tcPr>
          <w:p w:rsidR="00DE0C43" w:rsidRDefault="00DE0C43" w:rsidP="00152A31">
            <w:pPr>
              <w:pStyle w:val="TableParagraph"/>
              <w:spacing w:before="5" w:line="274" w:lineRule="exact"/>
              <w:ind w:left="455"/>
              <w:rPr>
                <w:b/>
                <w:sz w:val="25"/>
              </w:rPr>
            </w:pPr>
            <w:r>
              <w:rPr>
                <w:rFonts w:ascii="Times New Roman"/>
                <w:spacing w:val="-63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2020</w:t>
            </w:r>
          </w:p>
        </w:tc>
        <w:tc>
          <w:tcPr>
            <w:tcW w:w="1438" w:type="dxa"/>
            <w:tcBorders>
              <w:left w:val="single" w:sz="6" w:space="0" w:color="000000"/>
            </w:tcBorders>
            <w:shd w:val="clear" w:color="auto" w:fill="F9BE8F"/>
          </w:tcPr>
          <w:p w:rsidR="00DE0C43" w:rsidRDefault="00DE0C43" w:rsidP="00152A31">
            <w:pPr>
              <w:pStyle w:val="TableParagraph"/>
              <w:spacing w:before="5" w:line="274" w:lineRule="exact"/>
              <w:ind w:left="456"/>
              <w:rPr>
                <w:b/>
                <w:sz w:val="25"/>
              </w:rPr>
            </w:pPr>
            <w:r>
              <w:rPr>
                <w:rFonts w:ascii="Times New Roman"/>
                <w:spacing w:val="-63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2021</w:t>
            </w:r>
          </w:p>
        </w:tc>
        <w:tc>
          <w:tcPr>
            <w:tcW w:w="4659" w:type="dxa"/>
            <w:gridSpan w:val="2"/>
            <w:tcBorders>
              <w:right w:val="single" w:sz="6" w:space="0" w:color="000000"/>
            </w:tcBorders>
            <w:shd w:val="clear" w:color="auto" w:fill="F9BE8F"/>
          </w:tcPr>
          <w:p w:rsidR="00DE0C43" w:rsidRDefault="00DE0C43" w:rsidP="00152A31">
            <w:pPr>
              <w:pStyle w:val="TableParagraph"/>
              <w:spacing w:line="279" w:lineRule="exact"/>
              <w:ind w:left="41"/>
              <w:jc w:val="center"/>
              <w:rPr>
                <w:b/>
                <w:sz w:val="25"/>
              </w:rPr>
            </w:pPr>
            <w:r>
              <w:rPr>
                <w:rFonts w:ascii="Times New Roman"/>
                <w:spacing w:val="-63"/>
                <w:sz w:val="25"/>
                <w:u w:val="thick"/>
              </w:rPr>
              <w:t xml:space="preserve"> </w:t>
            </w:r>
            <w:proofErr w:type="spellStart"/>
            <w:r>
              <w:rPr>
                <w:b/>
                <w:sz w:val="25"/>
                <w:u w:val="thick"/>
              </w:rPr>
              <w:t>Passiva</w:t>
            </w:r>
            <w:proofErr w:type="spellEnd"/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9BE8F"/>
          </w:tcPr>
          <w:p w:rsidR="00DE0C43" w:rsidRDefault="00DE0C43" w:rsidP="00152A31">
            <w:pPr>
              <w:pStyle w:val="TableParagraph"/>
              <w:spacing w:before="5" w:line="274" w:lineRule="exact"/>
              <w:ind w:left="458"/>
              <w:rPr>
                <w:b/>
                <w:sz w:val="25"/>
              </w:rPr>
            </w:pPr>
            <w:r>
              <w:rPr>
                <w:rFonts w:ascii="Times New Roman"/>
                <w:spacing w:val="-63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2020</w:t>
            </w:r>
          </w:p>
        </w:tc>
        <w:tc>
          <w:tcPr>
            <w:tcW w:w="1439" w:type="dxa"/>
            <w:tcBorders>
              <w:left w:val="single" w:sz="6" w:space="0" w:color="000000"/>
            </w:tcBorders>
            <w:shd w:val="clear" w:color="auto" w:fill="F9BE8F"/>
          </w:tcPr>
          <w:p w:rsidR="00DE0C43" w:rsidRDefault="00DE0C43" w:rsidP="00152A31">
            <w:pPr>
              <w:pStyle w:val="TableParagraph"/>
              <w:spacing w:before="5" w:line="274" w:lineRule="exact"/>
              <w:ind w:left="458"/>
              <w:rPr>
                <w:b/>
                <w:sz w:val="25"/>
              </w:rPr>
            </w:pPr>
            <w:r>
              <w:rPr>
                <w:rFonts w:ascii="Times New Roman"/>
                <w:spacing w:val="-63"/>
                <w:sz w:val="25"/>
                <w:u w:val="thick"/>
              </w:rPr>
              <w:t xml:space="preserve"> </w:t>
            </w:r>
            <w:r>
              <w:rPr>
                <w:b/>
                <w:sz w:val="25"/>
                <w:u w:val="thick"/>
              </w:rPr>
              <w:t>2021</w:t>
            </w:r>
          </w:p>
        </w:tc>
      </w:tr>
      <w:tr w:rsidR="00DE0C43" w:rsidTr="00DE0C43">
        <w:trPr>
          <w:trHeight w:val="170"/>
        </w:trPr>
        <w:tc>
          <w:tcPr>
            <w:tcW w:w="620" w:type="dxa"/>
            <w:tcBorders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151" w:lineRule="exact"/>
              <w:ind w:right="11"/>
              <w:jc w:val="right"/>
              <w:rPr>
                <w:b/>
                <w:sz w:val="15"/>
              </w:rPr>
            </w:pPr>
            <w:bookmarkStart w:id="1" w:name="_Hlk134542317"/>
            <w:r>
              <w:rPr>
                <w:b/>
                <w:sz w:val="15"/>
              </w:rPr>
              <w:t>1.</w:t>
            </w:r>
          </w:p>
        </w:tc>
        <w:tc>
          <w:tcPr>
            <w:tcW w:w="3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151" w:lineRule="exact"/>
              <w:ind w:left="34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Immaterielles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Vermögen</w:t>
            </w:r>
            <w:proofErr w:type="spellEnd"/>
          </w:p>
        </w:tc>
        <w:tc>
          <w:tcPr>
            <w:tcW w:w="1439" w:type="dxa"/>
            <w:tcBorders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151" w:lineRule="exact"/>
              <w:ind w:right="4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3.180.838,66 €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151" w:lineRule="exact"/>
              <w:ind w:right="4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3.108.743,12 €</w:t>
            </w:r>
          </w:p>
        </w:tc>
        <w:tc>
          <w:tcPr>
            <w:tcW w:w="620" w:type="dxa"/>
            <w:tcBorders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151" w:lineRule="exact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</w:p>
        </w:tc>
        <w:tc>
          <w:tcPr>
            <w:tcW w:w="40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151" w:lineRule="exact"/>
              <w:ind w:left="37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Nettoposition</w:t>
            </w:r>
            <w:proofErr w:type="spellEnd"/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151" w:lineRule="exact"/>
              <w:ind w:right="4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52.092.748,59 €</w:t>
            </w:r>
          </w:p>
        </w:tc>
        <w:tc>
          <w:tcPr>
            <w:tcW w:w="1439" w:type="dxa"/>
            <w:tcBorders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151" w:lineRule="exact"/>
              <w:ind w:right="4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54.022.908,58 €</w:t>
            </w:r>
          </w:p>
        </w:tc>
      </w:tr>
      <w:tr w:rsidR="00DE0C43" w:rsidTr="00DE0C43">
        <w:trPr>
          <w:trHeight w:val="177"/>
        </w:trPr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before="4" w:line="153" w:lineRule="exact"/>
              <w:ind w:left="34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Sachvermögen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65.029.841,89 €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65.997.015,55 €</w:t>
            </w:r>
          </w:p>
        </w:tc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1.1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left="167"/>
              <w:rPr>
                <w:i/>
                <w:sz w:val="15"/>
              </w:rPr>
            </w:pPr>
            <w:r>
              <w:rPr>
                <w:i/>
                <w:sz w:val="15"/>
              </w:rPr>
              <w:t>Basis-</w:t>
            </w:r>
            <w:proofErr w:type="spellStart"/>
            <w:r>
              <w:rPr>
                <w:i/>
                <w:sz w:val="15"/>
              </w:rPr>
              <w:t>Reinvermögen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4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23.055.448,52 €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4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23.055.448,52 €</w:t>
            </w:r>
          </w:p>
        </w:tc>
      </w:tr>
      <w:tr w:rsidR="00DE0C43" w:rsidTr="00DE0C43">
        <w:trPr>
          <w:trHeight w:val="177"/>
        </w:trPr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before="4" w:line="153" w:lineRule="exact"/>
              <w:ind w:left="34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Finanzvermögen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4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1.225.975,48 €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4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1.270.349,39 €</w:t>
            </w:r>
          </w:p>
        </w:tc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1.2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left="167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</w:rPr>
              <w:t>Rücklagen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4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8.481.760,10 €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4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10.512.697,27 €</w:t>
            </w:r>
          </w:p>
        </w:tc>
      </w:tr>
      <w:tr w:rsidR="00DE0C43" w:rsidTr="00DE0C43">
        <w:trPr>
          <w:trHeight w:val="177"/>
        </w:trPr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before="4" w:line="153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Liquide </w:t>
            </w:r>
            <w:proofErr w:type="spellStart"/>
            <w:r>
              <w:rPr>
                <w:b/>
                <w:sz w:val="15"/>
              </w:rPr>
              <w:t>Mittel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  2.306.608,36 €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  3.623.291,29 €</w:t>
            </w:r>
          </w:p>
        </w:tc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1.3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left="167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</w:rPr>
              <w:t>Jahresergebnis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4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2.030.937,17 €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4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1.712.552,41 €</w:t>
            </w:r>
          </w:p>
        </w:tc>
      </w:tr>
      <w:tr w:rsidR="00DE0C43" w:rsidTr="00DE0C43">
        <w:trPr>
          <w:trHeight w:val="177"/>
        </w:trPr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before="4" w:line="153" w:lineRule="exact"/>
              <w:ind w:left="34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Aktive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Rechnungsabgrenzung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         3.575,00 €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         3.315,00 €</w:t>
            </w:r>
          </w:p>
        </w:tc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1.4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left="167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</w:rPr>
              <w:t>Sonderposten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4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18.524.602,80 €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4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18.742.210,38 €</w:t>
            </w:r>
          </w:p>
        </w:tc>
      </w:tr>
      <w:tr w:rsidR="00DE0C43" w:rsidTr="00DE0C43">
        <w:trPr>
          <w:trHeight w:val="177"/>
        </w:trPr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  <w:r w:rsidRPr="00DE0C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DD7F74C" wp14:editId="613719CF">
                      <wp:simplePos x="0" y="0"/>
                      <wp:positionH relativeFrom="page">
                        <wp:posOffset>21</wp:posOffset>
                      </wp:positionH>
                      <wp:positionV relativeFrom="paragraph">
                        <wp:posOffset>39263</wp:posOffset>
                      </wp:positionV>
                      <wp:extent cx="2067005" cy="1246820"/>
                      <wp:effectExtent l="0" t="0" r="9525" b="0"/>
                      <wp:wrapNone/>
                      <wp:docPr id="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7005" cy="1246820"/>
                              </a:xfrm>
                              <a:custGeom>
                                <a:avLst/>
                                <a:gdLst>
                                  <a:gd name="T0" fmla="+- 0 2424 2400"/>
                                  <a:gd name="T1" fmla="*/ T0 w 2520"/>
                                  <a:gd name="T2" fmla="+- 0 4432 2409"/>
                                  <a:gd name="T3" fmla="*/ 4432 h 2024"/>
                                  <a:gd name="T4" fmla="+- 0 2400 2400"/>
                                  <a:gd name="T5" fmla="*/ T4 w 2520"/>
                                  <a:gd name="T6" fmla="+- 0 4403 2409"/>
                                  <a:gd name="T7" fmla="*/ 4403 h 2024"/>
                                  <a:gd name="T8" fmla="+- 0 4898 2400"/>
                                  <a:gd name="T9" fmla="*/ T8 w 2520"/>
                                  <a:gd name="T10" fmla="+- 0 2409 2409"/>
                                  <a:gd name="T11" fmla="*/ 2409 h 2024"/>
                                  <a:gd name="T12" fmla="+- 0 4920 2400"/>
                                  <a:gd name="T13" fmla="*/ T12 w 2520"/>
                                  <a:gd name="T14" fmla="+- 0 2438 2409"/>
                                  <a:gd name="T15" fmla="*/ 2438 h 2024"/>
                                  <a:gd name="T16" fmla="+- 0 2424 2400"/>
                                  <a:gd name="T17" fmla="*/ T16 w 2520"/>
                                  <a:gd name="T18" fmla="+- 0 4432 2409"/>
                                  <a:gd name="T19" fmla="*/ 4432 h 202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520" h="2024">
                                    <a:moveTo>
                                      <a:pt x="24" y="2023"/>
                                    </a:moveTo>
                                    <a:lnTo>
                                      <a:pt x="0" y="1994"/>
                                    </a:lnTo>
                                    <a:lnTo>
                                      <a:pt x="2498" y="0"/>
                                    </a:lnTo>
                                    <a:lnTo>
                                      <a:pt x="2520" y="29"/>
                                    </a:lnTo>
                                    <a:lnTo>
                                      <a:pt x="24" y="20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D260B" id="Freeform 2" o:spid="_x0000_s1026" style="position:absolute;margin-left:0;margin-top:3.1pt;width:162.75pt;height:9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" path="m24,2023l,1994,2498,r22,29l24,2023xe" fillcolor="black" stroked="f">
                      <v:path arrowok="t" o:connecttype="custom" o:connectlocs="19686,2730191;0,2712326;2048960,1483987;2067005,1501851;19686,2730191" o:connectangles="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left="33"/>
              <w:rPr>
                <w:rFonts w:ascii="Calibri"/>
                <w:sz w:val="14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before="4" w:line="153" w:lineRule="exact"/>
              <w:ind w:left="37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Schulden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4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12.038.580,21 €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4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11.138.508,73 €</w:t>
            </w:r>
          </w:p>
        </w:tc>
      </w:tr>
      <w:tr w:rsidR="00DE0C43" w:rsidTr="00DE0C43">
        <w:trPr>
          <w:trHeight w:val="177"/>
        </w:trPr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left="33"/>
              <w:rPr>
                <w:rFonts w:ascii="Calibri"/>
                <w:sz w:val="14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2.1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left="167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</w:rPr>
              <w:t>Geldschulden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4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11.457.708,02 €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4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10.755.349,76 €</w:t>
            </w:r>
          </w:p>
        </w:tc>
      </w:tr>
      <w:tr w:rsidR="00DE0C43" w:rsidTr="00DE0C43">
        <w:trPr>
          <w:trHeight w:val="177"/>
        </w:trPr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left="33"/>
              <w:rPr>
                <w:rFonts w:ascii="Calibri"/>
                <w:sz w:val="14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left="297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</w:rPr>
              <w:t>davon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DE0C43" w:rsidTr="00DE0C43">
        <w:trPr>
          <w:trHeight w:val="40"/>
        </w:trPr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left="33"/>
              <w:rPr>
                <w:rFonts w:ascii="Calibri"/>
                <w:sz w:val="14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2.1.1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left="222"/>
              <w:rPr>
                <w:rFonts w:ascii="Calibri" w:hAnsi="Calibri"/>
                <w:sz w:val="14"/>
              </w:rPr>
            </w:pPr>
            <w:proofErr w:type="spellStart"/>
            <w:r>
              <w:rPr>
                <w:rFonts w:ascii="Calibri" w:hAnsi="Calibri"/>
                <w:sz w:val="14"/>
              </w:rPr>
              <w:t>Liquiditätskredite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tabs>
                <w:tab w:val="left" w:pos="261"/>
              </w:tabs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  <w:r>
              <w:rPr>
                <w:i/>
                <w:sz w:val="15"/>
              </w:rPr>
              <w:tab/>
              <w:t>€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Pr="00DB37ED" w:rsidRDefault="00DE0C43" w:rsidP="00152A31">
            <w:pPr>
              <w:pStyle w:val="TableParagraph"/>
              <w:ind w:right="39"/>
              <w:jc w:val="right"/>
              <w:rPr>
                <w:sz w:val="15"/>
                <w:szCs w:val="15"/>
              </w:rPr>
            </w:pPr>
            <w:r w:rsidRPr="00DB37ED">
              <w:rPr>
                <w:sz w:val="15"/>
                <w:szCs w:val="15"/>
              </w:rPr>
              <w:t>- €</w:t>
            </w:r>
          </w:p>
        </w:tc>
      </w:tr>
      <w:tr w:rsidR="00DE0C43" w:rsidTr="00DE0C43">
        <w:trPr>
          <w:trHeight w:val="177"/>
        </w:trPr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left="33"/>
              <w:rPr>
                <w:rFonts w:ascii="Calibri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6F0C586" wp14:editId="3DD6903A">
                      <wp:simplePos x="0" y="0"/>
                      <wp:positionH relativeFrom="page">
                        <wp:posOffset>103943</wp:posOffset>
                      </wp:positionH>
                      <wp:positionV relativeFrom="paragraph">
                        <wp:posOffset>-908180</wp:posOffset>
                      </wp:positionV>
                      <wp:extent cx="1416303" cy="926379"/>
                      <wp:effectExtent l="133350" t="0" r="146050" b="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990581">
                                <a:off x="0" y="0"/>
                                <a:ext cx="1416303" cy="926379"/>
                              </a:xfrm>
                              <a:custGeom>
                                <a:avLst/>
                                <a:gdLst>
                                  <a:gd name="T0" fmla="+- 0 2424 2400"/>
                                  <a:gd name="T1" fmla="*/ T0 w 2520"/>
                                  <a:gd name="T2" fmla="+- 0 4432 2409"/>
                                  <a:gd name="T3" fmla="*/ 4432 h 2024"/>
                                  <a:gd name="T4" fmla="+- 0 2400 2400"/>
                                  <a:gd name="T5" fmla="*/ T4 w 2520"/>
                                  <a:gd name="T6" fmla="+- 0 4403 2409"/>
                                  <a:gd name="T7" fmla="*/ 4403 h 2024"/>
                                  <a:gd name="T8" fmla="+- 0 4898 2400"/>
                                  <a:gd name="T9" fmla="*/ T8 w 2520"/>
                                  <a:gd name="T10" fmla="+- 0 2409 2409"/>
                                  <a:gd name="T11" fmla="*/ 2409 h 2024"/>
                                  <a:gd name="T12" fmla="+- 0 4920 2400"/>
                                  <a:gd name="T13" fmla="*/ T12 w 2520"/>
                                  <a:gd name="T14" fmla="+- 0 2438 2409"/>
                                  <a:gd name="T15" fmla="*/ 2438 h 2024"/>
                                  <a:gd name="T16" fmla="+- 0 2424 2400"/>
                                  <a:gd name="T17" fmla="*/ T16 w 2520"/>
                                  <a:gd name="T18" fmla="+- 0 4432 2409"/>
                                  <a:gd name="T19" fmla="*/ 4432 h 202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520" h="2024">
                                    <a:moveTo>
                                      <a:pt x="24" y="2023"/>
                                    </a:moveTo>
                                    <a:lnTo>
                                      <a:pt x="0" y="1994"/>
                                    </a:lnTo>
                                    <a:lnTo>
                                      <a:pt x="2498" y="0"/>
                                    </a:lnTo>
                                    <a:lnTo>
                                      <a:pt x="2520" y="29"/>
                                    </a:lnTo>
                                    <a:lnTo>
                                      <a:pt x="24" y="20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9A92F" id="Freeform 2" o:spid="_x0000_s1026" style="position:absolute;margin-left:8.2pt;margin-top:-71.5pt;width:111.5pt;height:72.95pt;rotation:2174245fd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" path="m24,2023l,1994,2498,r22,29l24,2023xe" fillcolor="black" stroked="f">
                      <v:path arrowok="t" o:connecttype="custom" o:connectlocs="13489,2028514;0,2015240;1403938,1102592;1416303,1115866;13489,2028514" o:connectangles="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2.1.2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left="222"/>
              <w:rPr>
                <w:rFonts w:ascii="Calibri" w:hAnsi="Calibri"/>
                <w:sz w:val="14"/>
              </w:rPr>
            </w:pPr>
            <w:proofErr w:type="spellStart"/>
            <w:r>
              <w:rPr>
                <w:rFonts w:ascii="Calibri" w:hAnsi="Calibri"/>
                <w:sz w:val="14"/>
              </w:rPr>
              <w:t>Geldschulden</w:t>
            </w:r>
            <w:proofErr w:type="spellEnd"/>
            <w:r>
              <w:rPr>
                <w:rFonts w:ascii="Calibri" w:hAnsi="Calibri"/>
                <w:sz w:val="14"/>
              </w:rPr>
              <w:t xml:space="preserve"> (</w:t>
            </w:r>
            <w:proofErr w:type="spellStart"/>
            <w:r>
              <w:rPr>
                <w:rFonts w:ascii="Calibri" w:hAnsi="Calibri"/>
                <w:sz w:val="14"/>
              </w:rPr>
              <w:t>ohne</w:t>
            </w:r>
            <w:proofErr w:type="spellEnd"/>
            <w:r>
              <w:rPr>
                <w:rFonts w:ascii="Calibri" w:hAnsi="Calibri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sz w:val="14"/>
              </w:rPr>
              <w:t>Liquiditätskredite</w:t>
            </w:r>
            <w:proofErr w:type="spellEnd"/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56"/>
              <w:jc w:val="right"/>
              <w:rPr>
                <w:sz w:val="15"/>
              </w:rPr>
            </w:pPr>
            <w:r>
              <w:rPr>
                <w:i/>
                <w:sz w:val="15"/>
              </w:rPr>
              <w:t xml:space="preserve">11.457.708,02 </w:t>
            </w:r>
            <w:r>
              <w:rPr>
                <w:sz w:val="15"/>
              </w:rPr>
              <w:t>€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i/>
                <w:sz w:val="15"/>
              </w:rPr>
              <w:t xml:space="preserve">10.755.349,76 </w:t>
            </w:r>
            <w:r>
              <w:rPr>
                <w:sz w:val="15"/>
              </w:rPr>
              <w:t>€</w:t>
            </w:r>
          </w:p>
        </w:tc>
      </w:tr>
      <w:tr w:rsidR="00DE0C43" w:rsidTr="00DE0C43">
        <w:trPr>
          <w:trHeight w:val="177"/>
        </w:trPr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left="33"/>
              <w:rPr>
                <w:rFonts w:ascii="Calibri"/>
                <w:sz w:val="14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2.2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left="129"/>
              <w:rPr>
                <w:rFonts w:ascii="Calibri" w:hAnsi="Calibri"/>
                <w:sz w:val="14"/>
              </w:rPr>
            </w:pPr>
            <w:proofErr w:type="spellStart"/>
            <w:r>
              <w:rPr>
                <w:rFonts w:ascii="Calibri" w:hAnsi="Calibri"/>
                <w:sz w:val="14"/>
              </w:rPr>
              <w:t>Verbindlichkeiten</w:t>
            </w:r>
            <w:proofErr w:type="spellEnd"/>
            <w:r>
              <w:rPr>
                <w:rFonts w:ascii="Calibri" w:hAnsi="Calibri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sz w:val="14"/>
              </w:rPr>
              <w:t>aus</w:t>
            </w:r>
            <w:proofErr w:type="spellEnd"/>
            <w:r>
              <w:rPr>
                <w:rFonts w:ascii="Calibri" w:hAnsi="Calibri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sz w:val="14"/>
              </w:rPr>
              <w:t>kreditähnlichen</w:t>
            </w:r>
            <w:proofErr w:type="spellEnd"/>
            <w:r>
              <w:rPr>
                <w:rFonts w:ascii="Calibri" w:hAnsi="Calibri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sz w:val="14"/>
              </w:rPr>
              <w:t>Rechtsgeschäften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tabs>
                <w:tab w:val="left" w:pos="261"/>
              </w:tabs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  <w:r>
              <w:rPr>
                <w:i/>
                <w:sz w:val="15"/>
              </w:rPr>
              <w:tab/>
              <w:t>€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tabs>
                <w:tab w:val="left" w:pos="261"/>
              </w:tabs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z w:val="15"/>
              </w:rPr>
              <w:tab/>
              <w:t>€</w:t>
            </w:r>
          </w:p>
        </w:tc>
      </w:tr>
      <w:tr w:rsidR="00DE0C43" w:rsidTr="00DE0C43">
        <w:trPr>
          <w:trHeight w:val="177"/>
        </w:trPr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  <w:bookmarkStart w:id="2" w:name="_Hlk134542384"/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left="33"/>
              <w:rPr>
                <w:rFonts w:ascii="Calibri"/>
                <w:sz w:val="14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2.3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Pr="00F1651B" w:rsidRDefault="00DE0C43" w:rsidP="00152A31">
            <w:pPr>
              <w:pStyle w:val="TableParagraph"/>
              <w:ind w:left="129"/>
              <w:rPr>
                <w:rFonts w:ascii="Calibri"/>
                <w:sz w:val="14"/>
                <w:lang w:val="de-DE"/>
              </w:rPr>
            </w:pPr>
            <w:r w:rsidRPr="00F1651B">
              <w:rPr>
                <w:rFonts w:ascii="Calibri"/>
                <w:sz w:val="14"/>
                <w:lang w:val="de-DE"/>
              </w:rPr>
              <w:t>Verbindlichkeiten aus Lieferungen und Leistungen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1"/>
              <w:jc w:val="center"/>
              <w:rPr>
                <w:sz w:val="15"/>
              </w:rPr>
            </w:pPr>
            <w:r w:rsidRPr="00F1651B">
              <w:rPr>
                <w:sz w:val="15"/>
                <w:lang w:val="de-DE"/>
              </w:rPr>
              <w:t xml:space="preserve">           </w:t>
            </w:r>
            <w:r>
              <w:rPr>
                <w:sz w:val="15"/>
              </w:rPr>
              <w:t>619.269,29 €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     798.561,17 €</w:t>
            </w:r>
          </w:p>
        </w:tc>
      </w:tr>
      <w:tr w:rsidR="00DE0C43" w:rsidTr="00DE0C43">
        <w:trPr>
          <w:trHeight w:val="177"/>
        </w:trPr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left="33"/>
              <w:rPr>
                <w:rFonts w:ascii="Calibri"/>
                <w:sz w:val="14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2.4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left="167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</w:rPr>
              <w:t>Transferverbindlichkeiten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4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-127.140,62 €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4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-489.508,54 €</w:t>
            </w:r>
          </w:p>
        </w:tc>
      </w:tr>
      <w:tr w:rsidR="00DE0C43" w:rsidTr="00DE0C43">
        <w:trPr>
          <w:trHeight w:val="177"/>
        </w:trPr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left="33"/>
              <w:rPr>
                <w:rFonts w:ascii="Calibri"/>
                <w:sz w:val="14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2.5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left="167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</w:rPr>
              <w:t>Sonstige</w:t>
            </w:r>
            <w:proofErr w:type="spellEnd"/>
            <w:r>
              <w:rPr>
                <w:i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Verbindlichkeiten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4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88.743,52 €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4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73.955,50 €</w:t>
            </w:r>
          </w:p>
        </w:tc>
      </w:tr>
      <w:tr w:rsidR="00DE0C43" w:rsidTr="00DE0C43">
        <w:trPr>
          <w:trHeight w:val="177"/>
        </w:trPr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left="33"/>
              <w:rPr>
                <w:rFonts w:ascii="Calibri"/>
                <w:sz w:val="14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3.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before="4" w:line="153" w:lineRule="exact"/>
              <w:ind w:left="37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Rückstellungen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4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7.615.510,59 €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4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8.841.297,04 €</w:t>
            </w:r>
          </w:p>
        </w:tc>
      </w:tr>
      <w:bookmarkEnd w:id="2"/>
      <w:tr w:rsidR="00DE0C43" w:rsidTr="00DE0C43">
        <w:trPr>
          <w:trHeight w:val="177"/>
        </w:trPr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left="33"/>
              <w:rPr>
                <w:rFonts w:ascii="Calibri"/>
                <w:sz w:val="14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4.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spacing w:before="4" w:line="153" w:lineRule="exact"/>
              <w:ind w:left="37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Passive </w:t>
            </w:r>
            <w:proofErr w:type="spellStart"/>
            <w:r>
              <w:rPr>
                <w:b/>
                <w:sz w:val="15"/>
              </w:rPr>
              <w:t>Rechnungsabgrenzung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3" w:rsidRDefault="00DE0C43" w:rsidP="00152A31">
            <w:pPr>
              <w:pStyle w:val="TableParagraph"/>
              <w:tabs>
                <w:tab w:val="left" w:pos="261"/>
              </w:tabs>
              <w:ind w:right="5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-</w:t>
            </w:r>
            <w:r>
              <w:rPr>
                <w:b/>
                <w:sz w:val="15"/>
              </w:rPr>
              <w:tab/>
              <w:t>€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0C43" w:rsidRDefault="00DE0C43" w:rsidP="00152A31">
            <w:pPr>
              <w:pStyle w:val="TableParagraph"/>
              <w:tabs>
                <w:tab w:val="left" w:pos="261"/>
              </w:tabs>
              <w:ind w:right="4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-</w:t>
            </w:r>
            <w:r>
              <w:rPr>
                <w:b/>
                <w:sz w:val="15"/>
              </w:rPr>
              <w:tab/>
              <w:t>€</w:t>
            </w:r>
          </w:p>
        </w:tc>
      </w:tr>
      <w:tr w:rsidR="00DE0C43" w:rsidTr="00DE0C43">
        <w:trPr>
          <w:trHeight w:val="177"/>
        </w:trPr>
        <w:tc>
          <w:tcPr>
            <w:tcW w:w="3888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9BE8F"/>
          </w:tcPr>
          <w:p w:rsidR="00DE0C43" w:rsidRDefault="00DE0C43" w:rsidP="00152A31">
            <w:pPr>
              <w:pStyle w:val="TableParagraph"/>
              <w:spacing w:line="158" w:lineRule="exact"/>
              <w:ind w:left="28"/>
              <w:rPr>
                <w:b/>
                <w:sz w:val="15"/>
              </w:rPr>
            </w:pPr>
            <w:r>
              <w:rPr>
                <w:rFonts w:ascii="Times New Roman"/>
                <w:sz w:val="15"/>
                <w:u w:val="single"/>
              </w:rPr>
              <w:t xml:space="preserve"> </w:t>
            </w:r>
            <w:proofErr w:type="spellStart"/>
            <w:r>
              <w:rPr>
                <w:b/>
                <w:sz w:val="15"/>
                <w:u w:val="single"/>
              </w:rPr>
              <w:t>Bilanzsumme</w:t>
            </w:r>
            <w:proofErr w:type="spellEnd"/>
            <w:r>
              <w:rPr>
                <w:b/>
                <w:sz w:val="15"/>
                <w:u w:val="single"/>
              </w:rPr>
              <w:t>: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9BE8F"/>
          </w:tcPr>
          <w:p w:rsidR="00DE0C43" w:rsidRDefault="00DE0C43" w:rsidP="00152A31">
            <w:pPr>
              <w:pStyle w:val="TableParagraph"/>
              <w:spacing w:before="4" w:line="154" w:lineRule="exact"/>
              <w:ind w:left="267"/>
              <w:rPr>
                <w:b/>
                <w:sz w:val="15"/>
              </w:rPr>
            </w:pP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71.746.839,39 €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9BE8F"/>
          </w:tcPr>
          <w:p w:rsidR="00DE0C43" w:rsidRDefault="00DE0C43" w:rsidP="00152A31">
            <w:pPr>
              <w:pStyle w:val="TableParagraph"/>
              <w:spacing w:before="4" w:line="154" w:lineRule="exact"/>
              <w:ind w:left="267"/>
              <w:rPr>
                <w:b/>
                <w:sz w:val="15"/>
              </w:rPr>
            </w:pP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74.002.714,35 €</w:t>
            </w:r>
          </w:p>
        </w:tc>
        <w:tc>
          <w:tcPr>
            <w:tcW w:w="4659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9BE8F"/>
          </w:tcPr>
          <w:p w:rsidR="00DE0C43" w:rsidRDefault="00DE0C43" w:rsidP="00152A31">
            <w:pPr>
              <w:pStyle w:val="TableParagraph"/>
              <w:spacing w:line="158" w:lineRule="exact"/>
              <w:ind w:left="31"/>
              <w:rPr>
                <w:b/>
                <w:sz w:val="15"/>
              </w:rPr>
            </w:pPr>
            <w:r>
              <w:rPr>
                <w:rFonts w:ascii="Times New Roman"/>
                <w:sz w:val="15"/>
                <w:u w:val="single"/>
              </w:rPr>
              <w:t xml:space="preserve"> </w:t>
            </w:r>
            <w:proofErr w:type="spellStart"/>
            <w:r>
              <w:rPr>
                <w:b/>
                <w:sz w:val="15"/>
                <w:u w:val="single"/>
              </w:rPr>
              <w:t>Bilanzsumme</w:t>
            </w:r>
            <w:proofErr w:type="spellEnd"/>
            <w:r>
              <w:rPr>
                <w:b/>
                <w:sz w:val="15"/>
                <w:u w:val="single"/>
              </w:rPr>
              <w:t>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9BE8F"/>
          </w:tcPr>
          <w:p w:rsidR="00DE0C43" w:rsidRDefault="00DE0C43" w:rsidP="00152A31">
            <w:pPr>
              <w:pStyle w:val="TableParagraph"/>
              <w:spacing w:before="4" w:line="154" w:lineRule="exact"/>
              <w:ind w:right="57"/>
              <w:jc w:val="right"/>
              <w:rPr>
                <w:b/>
                <w:sz w:val="15"/>
              </w:rPr>
            </w:pPr>
            <w:r>
              <w:rPr>
                <w:rFonts w:ascii="Times New Roman" w:hAnsi="Times New Roman"/>
                <w:sz w:val="15"/>
                <w:u w:val="single"/>
              </w:rPr>
              <w:t xml:space="preserve">  </w:t>
            </w:r>
            <w:r>
              <w:rPr>
                <w:b/>
                <w:sz w:val="15"/>
                <w:u w:val="single"/>
              </w:rPr>
              <w:t>71.746.839,39 €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9BE8F"/>
          </w:tcPr>
          <w:p w:rsidR="00DE0C43" w:rsidRDefault="00DE0C43" w:rsidP="00152A31">
            <w:pPr>
              <w:pStyle w:val="TableParagraph"/>
              <w:spacing w:before="4" w:line="154" w:lineRule="exact"/>
              <w:ind w:right="49"/>
              <w:jc w:val="right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>74.002.714,35 €</w:t>
            </w:r>
          </w:p>
        </w:tc>
      </w:tr>
      <w:bookmarkEnd w:id="1"/>
    </w:tbl>
    <w:p w:rsidR="009E5C54" w:rsidRDefault="009E5C54" w:rsidP="00D808AB">
      <w:pPr>
        <w:pStyle w:val="KeinLeerraum"/>
      </w:pPr>
    </w:p>
    <w:p w:rsidR="00D808AB" w:rsidRDefault="00D808AB" w:rsidP="00D808AB">
      <w:pPr>
        <w:pStyle w:val="KeinLeerraum"/>
      </w:pPr>
      <w:r>
        <w:t>Der Jahresabschluss der Gemeinde Südbrookmerland wird hiermit öffentlich bekanntgemacht.</w:t>
      </w:r>
    </w:p>
    <w:p w:rsidR="00D808AB" w:rsidRDefault="00D808AB" w:rsidP="00D808AB">
      <w:pPr>
        <w:pStyle w:val="KeinLeerraum"/>
      </w:pPr>
    </w:p>
    <w:p w:rsidR="00D808AB" w:rsidRDefault="00D808AB" w:rsidP="00D808AB">
      <w:pPr>
        <w:pStyle w:val="KeinLeerraum"/>
      </w:pPr>
      <w:r>
        <w:t>Der Jahresabschluss</w:t>
      </w:r>
      <w:r w:rsidR="006B0884">
        <w:t xml:space="preserve"> </w:t>
      </w:r>
      <w:proofErr w:type="gramStart"/>
      <w:r w:rsidR="006B0884">
        <w:t>inklusive</w:t>
      </w:r>
      <w:r w:rsidR="00D55AEC">
        <w:t xml:space="preserve"> </w:t>
      </w:r>
      <w:r w:rsidR="006B0884">
        <w:t>Anhang</w:t>
      </w:r>
      <w:proofErr w:type="gramEnd"/>
      <w:r w:rsidR="006B0884">
        <w:t xml:space="preserve"> zum 31.12.20</w:t>
      </w:r>
      <w:r w:rsidR="00DE0C43">
        <w:t>21</w:t>
      </w:r>
      <w:r>
        <w:t xml:space="preserve"> und der Bericht über die Prüfung des Jahresabschlusses liege</w:t>
      </w:r>
      <w:r w:rsidR="009E5C54">
        <w:t xml:space="preserve">n in der Zeit vom </w:t>
      </w:r>
      <w:proofErr w:type="spellStart"/>
      <w:r w:rsidR="00DE0C43">
        <w:t>vom</w:t>
      </w:r>
      <w:proofErr w:type="spellEnd"/>
      <w:r w:rsidR="00DE0C43">
        <w:t xml:space="preserve"> 15. Januar 202</w:t>
      </w:r>
      <w:r w:rsidR="00F1651B">
        <w:t>4</w:t>
      </w:r>
      <w:r w:rsidR="00DE0C43">
        <w:t xml:space="preserve"> bis einschließlich 23. Januar 202</w:t>
      </w:r>
      <w:r w:rsidR="00F1651B">
        <w:t>4</w:t>
      </w:r>
      <w:r w:rsidR="00DE0C43">
        <w:t xml:space="preserve"> </w:t>
      </w:r>
      <w:r>
        <w:t>während der Öffnungszeiten des Rathauses der Gemeinde Südbrookmerland, Westvictorburer Straße 2, 2</w:t>
      </w:r>
      <w:r w:rsidR="006B0884">
        <w:t xml:space="preserve">6624 Südbrookmerland, </w:t>
      </w:r>
      <w:r w:rsidR="002A66A5">
        <w:t>Raum</w:t>
      </w:r>
      <w:r w:rsidR="006B0884">
        <w:t xml:space="preserve"> </w:t>
      </w:r>
      <w:r w:rsidR="00E326CB">
        <w:t>215</w:t>
      </w:r>
      <w:r>
        <w:t>, aus.</w:t>
      </w:r>
    </w:p>
    <w:p w:rsidR="00D808AB" w:rsidRDefault="00D808AB" w:rsidP="00D808AB">
      <w:pPr>
        <w:pStyle w:val="KeinLeerraum"/>
      </w:pPr>
    </w:p>
    <w:p w:rsidR="00D808AB" w:rsidRDefault="00CE7850" w:rsidP="00D808AB">
      <w:pPr>
        <w:pStyle w:val="KeinLeerraum"/>
      </w:pPr>
      <w:r>
        <w:t>Sü</w:t>
      </w:r>
      <w:r w:rsidR="006B0884">
        <w:t xml:space="preserve">dbrookmerland, den </w:t>
      </w:r>
      <w:r w:rsidR="00F1651B">
        <w:t>12. Januar 2024</w:t>
      </w:r>
    </w:p>
    <w:p w:rsidR="00D808AB" w:rsidRDefault="00D808AB" w:rsidP="00D808AB">
      <w:pPr>
        <w:pStyle w:val="KeinLeerraum"/>
      </w:pPr>
    </w:p>
    <w:p w:rsidR="00D808AB" w:rsidRDefault="00D808AB" w:rsidP="00D808AB">
      <w:pPr>
        <w:pStyle w:val="KeinLeerraum"/>
      </w:pPr>
      <w:r>
        <w:t>Gemeinde Südbrookmerland</w:t>
      </w:r>
    </w:p>
    <w:p w:rsidR="00D808AB" w:rsidRDefault="00D808AB" w:rsidP="00D808AB">
      <w:pPr>
        <w:pStyle w:val="KeinLeerraum"/>
      </w:pPr>
      <w:r>
        <w:t>Der Bürgermeister</w:t>
      </w:r>
      <w:r w:rsidR="00F55A84">
        <w:tab/>
      </w:r>
      <w:r w:rsidR="00F55A84">
        <w:tab/>
      </w:r>
      <w:r w:rsidR="00F55A84">
        <w:tab/>
      </w:r>
      <w:r w:rsidR="00F55A84">
        <w:tab/>
      </w:r>
      <w:r w:rsidR="00F55A84">
        <w:tab/>
      </w:r>
      <w:r w:rsidR="00F55A84">
        <w:tab/>
      </w:r>
      <w:r w:rsidR="00F55A84">
        <w:tab/>
      </w:r>
      <w:r w:rsidR="00F55A84">
        <w:tab/>
      </w:r>
      <w:r w:rsidR="00F55A84">
        <w:tab/>
      </w:r>
      <w:r w:rsidR="00F55A84">
        <w:tab/>
      </w:r>
    </w:p>
    <w:p w:rsidR="00D808AB" w:rsidRDefault="00F55A84" w:rsidP="00D808AB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08AB" w:rsidRDefault="00F1651B" w:rsidP="00D808AB">
      <w:pPr>
        <w:pStyle w:val="KeinLeerraum"/>
        <w:rPr>
          <w:b/>
          <w:sz w:val="24"/>
          <w:szCs w:val="24"/>
        </w:rPr>
      </w:pPr>
      <w:r>
        <w:t xml:space="preserve">gez. </w:t>
      </w:r>
      <w:r w:rsidR="00DE0C43">
        <w:t>Thomas Erdwiens</w:t>
      </w:r>
    </w:p>
    <w:sectPr w:rsidR="00D808AB" w:rsidSect="00D4578F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D8"/>
    <w:rsid w:val="000F24E2"/>
    <w:rsid w:val="001358D0"/>
    <w:rsid w:val="00137DA1"/>
    <w:rsid w:val="00162175"/>
    <w:rsid w:val="001F110F"/>
    <w:rsid w:val="00206CD9"/>
    <w:rsid w:val="002A66A5"/>
    <w:rsid w:val="002E26BA"/>
    <w:rsid w:val="00590951"/>
    <w:rsid w:val="005C4F46"/>
    <w:rsid w:val="006B0884"/>
    <w:rsid w:val="006B4E55"/>
    <w:rsid w:val="007D35D5"/>
    <w:rsid w:val="007D66EF"/>
    <w:rsid w:val="009E5C54"/>
    <w:rsid w:val="00B74C31"/>
    <w:rsid w:val="00BC54A2"/>
    <w:rsid w:val="00BF4953"/>
    <w:rsid w:val="00CD468B"/>
    <w:rsid w:val="00CE7850"/>
    <w:rsid w:val="00D4578F"/>
    <w:rsid w:val="00D55AEC"/>
    <w:rsid w:val="00D808AB"/>
    <w:rsid w:val="00DC6F3A"/>
    <w:rsid w:val="00DE0C43"/>
    <w:rsid w:val="00E326CB"/>
    <w:rsid w:val="00E429D8"/>
    <w:rsid w:val="00F1651B"/>
    <w:rsid w:val="00F55A84"/>
    <w:rsid w:val="00F819AD"/>
    <w:rsid w:val="00F9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6125"/>
  <w15:chartTrackingRefBased/>
  <w15:docId w15:val="{65C3C950-8950-4C1A-9067-785D5D31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D35D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429D8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429D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9095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B74C31"/>
    <w:pPr>
      <w:widowControl w:val="0"/>
      <w:autoSpaceDE w:val="0"/>
      <w:autoSpaceDN w:val="0"/>
      <w:spacing w:after="0" w:line="157" w:lineRule="exact"/>
    </w:pPr>
    <w:rPr>
      <w:rFonts w:ascii="Arial" w:eastAsia="Arial" w:hAnsi="Arial" w:cs="Arial"/>
      <w:lang w:val="en-US"/>
    </w:rPr>
  </w:style>
  <w:style w:type="table" w:customStyle="1" w:styleId="TableNormal1">
    <w:name w:val="Table Normal1"/>
    <w:uiPriority w:val="2"/>
    <w:semiHidden/>
    <w:unhideWhenUsed/>
    <w:qFormat/>
    <w:rsid w:val="00DE0C4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AEFCB-3A80-4B77-B80F-D208AC87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Wilfried Müller</dc:creator>
  <cp:keywords/>
  <dc:description/>
  <cp:lastModifiedBy>Hannegret de Vries</cp:lastModifiedBy>
  <cp:revision>2</cp:revision>
  <cp:lastPrinted>2017-06-21T07:30:00Z</cp:lastPrinted>
  <dcterms:created xsi:type="dcterms:W3CDTF">2024-01-08T10:41:00Z</dcterms:created>
  <dcterms:modified xsi:type="dcterms:W3CDTF">2024-01-08T10:41:00Z</dcterms:modified>
</cp:coreProperties>
</file>